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numPr>
          <w:ilvl w:val="0"/>
          <w:numId w:val="0"/>
        </w:numPr>
        <w:spacing w:before="170" w:after="57"/>
        <w:ind w:left="0" w:hanging="0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5972175" cy="1397635"/>
            <wp:effectExtent l="0" t="0" r="0" b="0"/>
            <wp:wrapTight wrapText="bothSides">
              <wp:wrapPolygon edited="0">
                <wp:start x="-54" y="0"/>
                <wp:lineTo x="-54" y="20923"/>
                <wp:lineTo x="21410" y="20923"/>
                <wp:lineTo x="21410" y="0"/>
                <wp:lineTo x="-54" y="0"/>
              </wp:wrapPolygon>
            </wp:wrapTight>
            <wp:docPr id="1" name="Bild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114" t="31045" r="3850" b="3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krper"/>
        <w:numPr>
          <w:ilvl w:val="0"/>
          <w:numId w:val="0"/>
        </w:numPr>
        <w:outlineLvl w:val="0"/>
        <w:rPr/>
      </w:pPr>
      <w:r>
        <w:rPr/>
      </w:r>
    </w:p>
    <w:p>
      <w:pPr>
        <w:pStyle w:val="Textkrper"/>
        <w:numPr>
          <w:ilvl w:val="0"/>
          <w:numId w:val="0"/>
        </w:numPr>
        <w:outlineLvl w:val="0"/>
        <w:rPr/>
      </w:pPr>
      <w:r>
        <w:rPr/>
      </w:r>
    </w:p>
    <w:p>
      <w:pPr>
        <w:pStyle w:val="Textkrper"/>
        <w:numPr>
          <w:ilvl w:val="0"/>
          <w:numId w:val="0"/>
        </w:numPr>
        <w:outlineLvl w:val="0"/>
        <w:rPr/>
      </w:pPr>
      <w:r>
        <w:rPr/>
      </w:r>
    </w:p>
    <w:p>
      <w:pPr>
        <w:pStyle w:val="Textkrper"/>
        <w:numPr>
          <w:ilvl w:val="0"/>
          <w:numId w:val="0"/>
        </w:numPr>
        <w:outlineLvl w:val="0"/>
        <w:rPr/>
      </w:pPr>
      <w:r>
        <w:rPr/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  <w:t>im Landessportbund Niedersachsen e.V.</w:t>
      </w:r>
    </w:p>
    <w:p>
      <w:pPr>
        <w:pStyle w:val="Normal"/>
        <w:jc w:val="center"/>
        <w:rPr/>
      </w:pPr>
      <w:r>
        <w:rPr>
          <w:sz w:val="21"/>
          <w:szCs w:val="21"/>
        </w:rPr>
        <w:t xml:space="preserve">Email: </w:t>
      </w:r>
      <w:hyperlink r:id="rId3">
        <w:r>
          <w:rPr>
            <w:rStyle w:val="Internetverknpfung"/>
            <w:sz w:val="21"/>
            <w:szCs w:val="21"/>
          </w:rPr>
          <w:t>martin.vondenbenken@njv.de</w:t>
        </w:r>
      </w:hyperlink>
      <w:r>
        <w:rPr>
          <w:sz w:val="21"/>
          <w:szCs w:val="21"/>
        </w:rPr>
        <w:t xml:space="preserve"> Web: </w:t>
      </w:r>
      <w:hyperlink r:id="rId4">
        <w:r>
          <w:rPr>
            <w:rStyle w:val="Internetverknpfung"/>
            <w:sz w:val="21"/>
            <w:szCs w:val="21"/>
          </w:rPr>
          <w:t>www.njv.de</w:t>
        </w:r>
      </w:hyperlink>
      <w:r>
        <w:rPr>
          <w:sz w:val="21"/>
          <w:szCs w:val="21"/>
        </w:rPr>
        <w:t xml:space="preserve"> </w:t>
      </w:r>
    </w:p>
    <w:p>
      <w:pPr>
        <w:pStyle w:val="Berschrift1"/>
        <w:keepNext w:val="true"/>
        <w:numPr>
          <w:ilvl w:val="0"/>
          <w:numId w:val="0"/>
        </w:numPr>
        <w:spacing w:before="170" w:after="57"/>
        <w:ind w:left="0" w:hanging="0"/>
        <w:jc w:val="center"/>
        <w:rPr>
          <w:rFonts w:ascii="Liberation Sans" w:hAnsi="Liberation Sans" w:eastAsia="Microsoft YaHei" w:cs="Arial"/>
          <w:b/>
          <w:b/>
          <w:bCs/>
          <w:color w:val="99284C"/>
        </w:rPr>
      </w:pPr>
      <w:bookmarkStart w:id="0" w:name="__RefHeading___Toc7071_36083761"/>
      <w:bookmarkEnd w:id="0"/>
      <w:r>
        <w:rPr>
          <w:rFonts w:eastAsia="Microsoft YaHei" w:cs="Arial"/>
          <w:b/>
          <w:bCs/>
          <w:color w:val="99284C"/>
        </w:rPr>
        <w:t>Richtlinien für die Durchführung von Modulprüfungen</w:t>
        <w:br/>
        <w:t xml:space="preserve">zur Erreichung von </w:t>
      </w:r>
      <w:r>
        <w:rPr>
          <w:rFonts w:eastAsia="Microsoft YaHei" w:cs="Arial"/>
          <w:b/>
          <w:bCs/>
          <w:color w:val="99284C"/>
        </w:rPr>
        <w:t xml:space="preserve">Kyu- und </w:t>
      </w:r>
      <w:r>
        <w:rPr>
          <w:rFonts w:eastAsia="Microsoft YaHei" w:cs="Arial"/>
          <w:b/>
          <w:bCs/>
          <w:color w:val="99284C"/>
        </w:rPr>
        <w:t>Dan-Graden</w:t>
      </w:r>
    </w:p>
    <w:tbl>
      <w:tblPr>
        <w:tblW w:w="102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2"/>
        <w:gridCol w:w="793"/>
        <w:gridCol w:w="1935"/>
        <w:gridCol w:w="6960"/>
      </w:tblGrid>
      <w:tr>
        <w:trPr/>
        <w:tc>
          <w:tcPr>
            <w:tcW w:w="512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</w:t>
            </w:r>
          </w:p>
        </w:tc>
        <w:tc>
          <w:tcPr>
            <w:tcW w:w="968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1"/>
                <w:szCs w:val="21"/>
              </w:rPr>
              <w:t>Grundsätzlich werden Dan-Prüfungen im NJV komplett an einem Tag abgelegt. Folgende Prüfungs</w:t>
            </w:r>
            <w:r>
              <w:rPr>
                <w:sz w:val="21"/>
                <w:szCs w:val="21"/>
              </w:rPr>
              <w:t>module</w:t>
            </w:r>
            <w:r>
              <w:rPr>
                <w:sz w:val="21"/>
                <w:szCs w:val="21"/>
              </w:rPr>
              <w:t xml:space="preserve"> können </w:t>
            </w:r>
            <w:r>
              <w:rPr>
                <w:sz w:val="21"/>
                <w:szCs w:val="21"/>
              </w:rPr>
              <w:t xml:space="preserve">im Vornherein abgelegt werden </w:t>
            </w:r>
            <w:r>
              <w:rPr>
                <w:sz w:val="21"/>
                <w:szCs w:val="21"/>
              </w:rPr>
              <w:t xml:space="preserve">(sh. </w:t>
            </w:r>
            <w:hyperlink r:id="rId5">
              <w:r>
                <w:rPr>
                  <w:rStyle w:val="Internetverknpfung"/>
                  <w:sz w:val="21"/>
                  <w:szCs w:val="21"/>
                </w:rPr>
                <w:t>NJV Prüfungsordnung</w:t>
              </w:r>
            </w:hyperlink>
            <w:r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: </w:t>
            </w:r>
          </w:p>
        </w:tc>
      </w:tr>
      <w:tr>
        <w:trPr>
          <w:trHeight w:val="366" w:hRule="atLeast"/>
        </w:trPr>
        <w:tc>
          <w:tcPr>
            <w:tcW w:w="51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•</w:t>
            </w:r>
          </w:p>
        </w:tc>
        <w:tc>
          <w:tcPr>
            <w:tcW w:w="1935" w:type="dxa"/>
            <w:tcBorders/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Kyu b</w:t>
            </w:r>
            <w:r>
              <w:rPr>
                <w:sz w:val="21"/>
                <w:szCs w:val="21"/>
              </w:rPr>
              <w:t xml:space="preserve">is 5. Dan: </w:t>
            </w:r>
          </w:p>
        </w:tc>
        <w:tc>
          <w:tcPr>
            <w:tcW w:w="696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1"/>
                <w:szCs w:val="21"/>
              </w:rPr>
              <w:t>Modul „K</w:t>
            </w:r>
            <w:r>
              <w:rPr>
                <w:sz w:val="21"/>
                <w:szCs w:val="21"/>
              </w:rPr>
              <w:t>ata“</w:t>
            </w:r>
          </w:p>
        </w:tc>
      </w:tr>
      <w:tr>
        <w:trPr/>
        <w:tc>
          <w:tcPr>
            <w:tcW w:w="51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•</w:t>
            </w:r>
          </w:p>
        </w:tc>
        <w:tc>
          <w:tcPr>
            <w:tcW w:w="1935" w:type="dxa"/>
            <w:tcBorders/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bis 3. Dan: </w:t>
            </w:r>
          </w:p>
        </w:tc>
        <w:tc>
          <w:tcPr>
            <w:tcW w:w="696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1"/>
                <w:szCs w:val="21"/>
              </w:rPr>
              <w:t>Modul „</w:t>
            </w:r>
            <w:r>
              <w:rPr>
                <w:sz w:val="21"/>
                <w:szCs w:val="21"/>
              </w:rPr>
              <w:t>Selbstverteidigung“</w:t>
            </w:r>
          </w:p>
        </w:tc>
      </w:tr>
      <w:tr>
        <w:trPr/>
        <w:tc>
          <w:tcPr>
            <w:tcW w:w="51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•</w:t>
            </w:r>
          </w:p>
        </w:tc>
        <w:tc>
          <w:tcPr>
            <w:tcW w:w="1935" w:type="dxa"/>
            <w:tcBorders/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und 2. Dan: </w:t>
            </w:r>
          </w:p>
        </w:tc>
        <w:tc>
          <w:tcPr>
            <w:tcW w:w="6960" w:type="dxa"/>
            <w:tcBorders/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Module „Spezialtechnik“, „Stand“, „Boden“</w:t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2)</w:t>
            </w:r>
          </w:p>
        </w:tc>
        <w:tc>
          <w:tcPr>
            <w:tcW w:w="9688" w:type="dxa"/>
            <w:gridSpan w:val="3"/>
            <w:tcBorders/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Bei einer Modulprüfung sind mindestens zwei Dan-Prüfer anwesend, die auf der Expertenliste des NJV </w:t>
            </w:r>
            <w:r>
              <w:rPr>
                <w:sz w:val="21"/>
                <w:szCs w:val="21"/>
              </w:rPr>
              <w:t>für das Prüfungsmodul</w:t>
            </w:r>
            <w:r>
              <w:rPr>
                <w:sz w:val="21"/>
                <w:szCs w:val="21"/>
              </w:rPr>
              <w:t xml:space="preserve"> geführt werden. </w:t>
            </w:r>
            <w:r>
              <w:rPr>
                <w:sz w:val="21"/>
                <w:szCs w:val="21"/>
              </w:rPr>
              <w:t>Die geplante Modulprüfung ist 2 Wochen vorher dem Ausbildungsleiter per Email mitzuteilen.</w:t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3)</w:t>
            </w:r>
          </w:p>
        </w:tc>
        <w:tc>
          <w:tcPr>
            <w:tcW w:w="9688" w:type="dxa"/>
            <w:gridSpan w:val="3"/>
            <w:tcBorders/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Modulprüfungen dürfen abgenommen werden:</w:t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•</w:t>
            </w:r>
          </w:p>
        </w:tc>
        <w:tc>
          <w:tcPr>
            <w:tcW w:w="8895" w:type="dxa"/>
            <w:gridSpan w:val="2"/>
            <w:tcBorders/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bei Landes-Kata-Meisterschaften oder –Turnieren (das </w:t>
            </w:r>
            <w:r>
              <w:rPr>
                <w:sz w:val="21"/>
                <w:szCs w:val="21"/>
              </w:rPr>
              <w:t>Modul</w:t>
            </w:r>
            <w:r>
              <w:rPr>
                <w:sz w:val="21"/>
                <w:szCs w:val="21"/>
              </w:rPr>
              <w:t xml:space="preserve"> Kata)</w:t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•</w:t>
            </w:r>
          </w:p>
        </w:tc>
        <w:tc>
          <w:tcPr>
            <w:tcW w:w="8895" w:type="dxa"/>
            <w:gridSpan w:val="2"/>
            <w:tcBorders/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 den Kata-Stützpunkten im NJV (das </w:t>
            </w:r>
            <w:r>
              <w:rPr>
                <w:sz w:val="21"/>
                <w:szCs w:val="21"/>
              </w:rPr>
              <w:t>Modul</w:t>
            </w:r>
            <w:r>
              <w:rPr>
                <w:sz w:val="21"/>
                <w:szCs w:val="21"/>
              </w:rPr>
              <w:t xml:space="preserve"> Kata) </w:t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•</w:t>
            </w:r>
          </w:p>
        </w:tc>
        <w:tc>
          <w:tcPr>
            <w:tcW w:w="8895" w:type="dxa"/>
            <w:gridSpan w:val="2"/>
            <w:tcBorders/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bei überregionalen Lehrgangsmaßnahmen des Selbstverteidigungsreferenten des NJV </w:t>
              <w:br/>
              <w:t xml:space="preserve">(das </w:t>
            </w:r>
            <w:r>
              <w:rPr>
                <w:sz w:val="21"/>
                <w:szCs w:val="21"/>
              </w:rPr>
              <w:t>Modul</w:t>
            </w:r>
            <w:r>
              <w:rPr>
                <w:sz w:val="21"/>
                <w:szCs w:val="21"/>
              </w:rPr>
              <w:t xml:space="preserve"> Selbstverteidigung) </w:t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9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•</w:t>
            </w:r>
          </w:p>
        </w:tc>
        <w:tc>
          <w:tcPr>
            <w:tcW w:w="8895" w:type="dxa"/>
            <w:gridSpan w:val="2"/>
            <w:tcBorders/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bei allen offiziellen Dan-Prüfungen im Bereich des NJV </w:t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4)</w:t>
            </w:r>
          </w:p>
        </w:tc>
        <w:tc>
          <w:tcPr>
            <w:tcW w:w="9688" w:type="dxa"/>
            <w:gridSpan w:val="3"/>
            <w:tcBorders/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Das Bestehen der Modulprüfung wird dem Prüfling von den Prüfern auf d</w:t>
            </w:r>
            <w:r>
              <w:rPr>
                <w:sz w:val="21"/>
                <w:szCs w:val="21"/>
              </w:rPr>
              <w:t>ies</w:t>
            </w:r>
            <w:r>
              <w:rPr>
                <w:sz w:val="21"/>
                <w:szCs w:val="21"/>
              </w:rPr>
              <w:t xml:space="preserve">em </w:t>
            </w:r>
            <w:r>
              <w:rPr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 xml:space="preserve">ormular bescheinigt. Die Bescheinigung ist zwei Jahre gültig. Zudem informieren die Prüfer den Ausbildungsleiter und den Prüfungsreferenten über das Prüfungsergebnis. Mit der Prüfungsanmeldung ist dem Ausbildungsleiter die Modulbescheinigung </w:t>
            </w:r>
            <w:r>
              <w:rPr>
                <w:sz w:val="21"/>
                <w:szCs w:val="21"/>
              </w:rPr>
              <w:t xml:space="preserve">vom Prüfling </w:t>
            </w:r>
            <w:r>
              <w:rPr>
                <w:sz w:val="21"/>
                <w:szCs w:val="21"/>
              </w:rPr>
              <w:t>vorzulegen.</w:t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688" w:type="dxa"/>
            <w:gridSpan w:val="3"/>
            <w:tcBorders/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rFonts w:ascii="Wingdings" w:hAnsi="Wingdings" w:eastAsia="Wingdings" w:cs="Wingdings"/>
        </w:rPr>
      </w:pPr>
      <w:r>
        <w:rPr>
          <w:rFonts w:eastAsia="Wingdings" w:cs="Wingdings" w:ascii="Wingdings" w:hAnsi="Wingdings"/>
        </w:rPr>
        <w:t></w:t>
      </w:r>
    </w:p>
    <w:p>
      <w:pPr>
        <w:pStyle w:val="Normal"/>
        <w:rPr>
          <w:rFonts w:ascii="Wingdings" w:hAnsi="Wingdings" w:eastAsia="Wingdings" w:cs="Wingdings"/>
          <w:sz w:val="16"/>
          <w:szCs w:val="16"/>
        </w:rPr>
      </w:pPr>
      <w:r>
        <w:rPr>
          <w:rFonts w:eastAsia="Wingdings" w:cs="Wingdings" w:ascii="Wingdings" w:hAnsi="Wingdings"/>
          <w:sz w:val="16"/>
          <w:szCs w:val="16"/>
        </w:rPr>
      </w:r>
    </w:p>
    <w:tbl>
      <w:tblPr>
        <w:tblW w:w="1020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00"/>
        <w:gridCol w:w="125"/>
        <w:gridCol w:w="1576"/>
        <w:gridCol w:w="1048"/>
        <w:gridCol w:w="653"/>
        <w:gridCol w:w="1685"/>
        <w:gridCol w:w="1716"/>
        <w:gridCol w:w="1703"/>
      </w:tblGrid>
      <w:tr>
        <w:trPr/>
        <w:tc>
          <w:tcPr>
            <w:tcW w:w="5102" w:type="dxa"/>
            <w:gridSpan w:val="5"/>
            <w:tcBorders/>
            <w:shd w:fill="auto" w:val="clear"/>
          </w:tcPr>
          <w:p>
            <w:pPr>
              <w:pStyle w:val="Tabelleninha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635</wp:posOffset>
                  </wp:positionV>
                  <wp:extent cx="3050540" cy="627380"/>
                  <wp:effectExtent l="0" t="0" r="0" b="0"/>
                  <wp:wrapTight wrapText="bothSides">
                    <wp:wrapPolygon edited="0">
                      <wp:start x="-54" y="0"/>
                      <wp:lineTo x="-54" y="20923"/>
                      <wp:lineTo x="21410" y="20923"/>
                      <wp:lineTo x="21410" y="0"/>
                      <wp:lineTo x="-54" y="0"/>
                    </wp:wrapPolygon>
                  </wp:wrapTight>
                  <wp:docPr id="2" name="Bild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114" t="31045" r="3850" b="31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540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Liberation Sans" w:hAnsi="Liberation Sans"/>
                <w:b/>
                <w:b/>
                <w:bCs/>
                <w:color w:val="004586"/>
                <w:sz w:val="32"/>
                <w:szCs w:val="32"/>
              </w:rPr>
            </w:pPr>
            <w:bookmarkStart w:id="1" w:name="__RefHeading___Toc7077_36083761"/>
            <w:bookmarkEnd w:id="1"/>
            <w:r>
              <w:rPr>
                <w:rFonts w:ascii="Liberation Sans" w:hAnsi="Liberation Sans"/>
                <w:b/>
                <w:bCs/>
                <w:color w:val="004586"/>
                <w:sz w:val="32"/>
                <w:szCs w:val="32"/>
              </w:rPr>
              <w:t>Bescheinigung über</w:t>
              <w:br/>
              <w:t xml:space="preserve">das Ablegen einer </w:t>
            </w:r>
          </w:p>
          <w:p>
            <w:pPr>
              <w:pStyle w:val="Normal"/>
              <w:jc w:val="right"/>
              <w:rPr>
                <w:rFonts w:ascii="Liberation Sans" w:hAnsi="Liberation Sans"/>
                <w:b/>
                <w:b/>
                <w:bCs/>
                <w:color w:val="004586"/>
                <w:sz w:val="32"/>
                <w:szCs w:val="32"/>
              </w:rPr>
            </w:pPr>
            <w:r>
              <w:rPr>
                <w:rFonts w:ascii="Liberation Sans" w:hAnsi="Liberation Sans"/>
                <w:b/>
                <w:bCs/>
                <w:color w:val="004586"/>
                <w:sz w:val="32"/>
                <w:szCs w:val="32"/>
              </w:rPr>
              <w:t>Modulprüfung</w:t>
            </w:r>
          </w:p>
        </w:tc>
      </w:tr>
      <w:tr>
        <w:trPr/>
        <w:tc>
          <w:tcPr>
            <w:tcW w:w="1825" w:type="dxa"/>
            <w:gridSpan w:val="2"/>
            <w:tcBorders/>
            <w:shd w:fill="auto" w:val="clear"/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Herr / Frau:</w:t>
            </w:r>
          </w:p>
        </w:tc>
        <w:tc>
          <w:tcPr>
            <w:tcW w:w="3277" w:type="dxa"/>
            <w:gridSpan w:val="3"/>
            <w:tcBorders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b/>
                <w:b/>
                <w:bCs/>
                <w:color w:val="2323DC"/>
              </w:rPr>
            </w:pPr>
            <w:r>
              <w:rPr>
                <w:rFonts w:ascii="Liberation Sans" w:hAnsi="Liberation Sans"/>
                <w:b/>
                <w:bCs/>
                <w:color w:val="2323DC"/>
              </w:rPr>
            </w:r>
          </w:p>
        </w:tc>
        <w:tc>
          <w:tcPr>
            <w:tcW w:w="1685" w:type="dxa"/>
            <w:tcBorders/>
            <w:shd w:fill="auto" w:val="clear"/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19" w:type="dxa"/>
            <w:gridSpan w:val="2"/>
            <w:tcBorders/>
            <w:shd w:fill="auto" w:val="clear"/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825" w:type="dxa"/>
            <w:gridSpan w:val="2"/>
            <w:tcBorders/>
            <w:shd w:fill="auto" w:val="clear"/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geboren am:</w:t>
            </w:r>
          </w:p>
        </w:tc>
        <w:tc>
          <w:tcPr>
            <w:tcW w:w="3277" w:type="dxa"/>
            <w:gridSpan w:val="3"/>
            <w:tcBorders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b/>
                <w:b/>
                <w:bCs/>
                <w:color w:val="2323DC"/>
              </w:rPr>
            </w:pPr>
            <w:r>
              <w:rPr>
                <w:rFonts w:ascii="Liberation Sans" w:hAnsi="Liberation Sans"/>
                <w:b/>
                <w:bCs/>
                <w:color w:val="2323DC"/>
              </w:rPr>
            </w:r>
          </w:p>
        </w:tc>
        <w:tc>
          <w:tcPr>
            <w:tcW w:w="1685" w:type="dxa"/>
            <w:tcBorders/>
            <w:shd w:fill="auto" w:val="clear"/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vom Verein:</w:t>
            </w:r>
          </w:p>
        </w:tc>
        <w:tc>
          <w:tcPr>
            <w:tcW w:w="3419" w:type="dxa"/>
            <w:gridSpan w:val="2"/>
            <w:tcBorders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b/>
                <w:b/>
                <w:bCs/>
                <w:color w:val="2323DC"/>
              </w:rPr>
            </w:pPr>
            <w:r>
              <w:rPr>
                <w:rFonts w:ascii="Liberation Sans" w:hAnsi="Liberation Sans"/>
                <w:b/>
                <w:bCs/>
                <w:color w:val="2323DC"/>
              </w:rPr>
            </w:r>
          </w:p>
        </w:tc>
      </w:tr>
      <w:tr>
        <w:trPr/>
        <w:tc>
          <w:tcPr>
            <w:tcW w:w="1825" w:type="dxa"/>
            <w:gridSpan w:val="2"/>
            <w:tcBorders/>
            <w:shd w:fill="auto" w:val="clear"/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hat am:</w:t>
            </w:r>
          </w:p>
        </w:tc>
        <w:tc>
          <w:tcPr>
            <w:tcW w:w="3277" w:type="dxa"/>
            <w:gridSpan w:val="3"/>
            <w:tcBorders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b/>
                <w:b/>
                <w:bCs/>
                <w:color w:val="2323DC"/>
              </w:rPr>
            </w:pPr>
            <w:r>
              <w:rPr>
                <w:rFonts w:ascii="Liberation Sans" w:hAnsi="Liberation Sans"/>
                <w:b/>
                <w:bCs/>
                <w:color w:val="2323DC"/>
              </w:rPr>
            </w:r>
          </w:p>
        </w:tc>
        <w:tc>
          <w:tcPr>
            <w:tcW w:w="1685" w:type="dxa"/>
            <w:tcBorders/>
            <w:shd w:fill="auto" w:val="clear"/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das Modul:</w:t>
            </w:r>
          </w:p>
        </w:tc>
        <w:tc>
          <w:tcPr>
            <w:tcW w:w="3419" w:type="dxa"/>
            <w:gridSpan w:val="2"/>
            <w:tcBorders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b/>
                <w:b/>
                <w:bCs/>
                <w:color w:val="2323DC"/>
              </w:rPr>
            </w:pPr>
            <w:r>
              <w:rPr>
                <w:rFonts w:ascii="Liberation Sans" w:hAnsi="Liberation Sans"/>
                <w:b/>
                <w:bCs/>
                <w:color w:val="2323DC"/>
              </w:rPr>
            </w:r>
          </w:p>
        </w:tc>
      </w:tr>
      <w:tr>
        <w:trPr/>
        <w:tc>
          <w:tcPr>
            <w:tcW w:w="4449" w:type="dxa"/>
            <w:gridSpan w:val="4"/>
            <w:tcBorders/>
            <w:shd w:fill="auto" w:val="clear"/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bei der Veranstaltung / am Stützpunkt: </w:t>
            </w:r>
          </w:p>
        </w:tc>
        <w:tc>
          <w:tcPr>
            <w:tcW w:w="5757" w:type="dxa"/>
            <w:gridSpan w:val="4"/>
            <w:tcBorders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b/>
                <w:b/>
                <w:bCs/>
                <w:color w:val="2323DC"/>
              </w:rPr>
            </w:pPr>
            <w:r>
              <w:rPr>
                <w:rFonts w:ascii="Liberation Sans" w:hAnsi="Liberation Sans"/>
                <w:b/>
                <w:bCs/>
                <w:color w:val="2323DC"/>
              </w:rPr>
            </w:r>
          </w:p>
        </w:tc>
      </w:tr>
      <w:tr>
        <w:trPr/>
        <w:tc>
          <w:tcPr>
            <w:tcW w:w="10206" w:type="dxa"/>
            <w:gridSpan w:val="8"/>
            <w:tcBorders/>
            <w:shd w:fill="auto" w:val="clear"/>
          </w:tcPr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erfolgreich abgelegt.</w:t>
            </w:r>
          </w:p>
        </w:tc>
      </w:tr>
      <w:tr>
        <w:trPr/>
        <w:tc>
          <w:tcPr>
            <w:tcW w:w="3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1700" w:type="dxa"/>
            <w:tcBorders/>
            <w:shd w:fill="auto" w:val="clear"/>
          </w:tcPr>
          <w:p>
            <w:pPr>
              <w:pStyle w:val="Tabelleninhal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Prüfer/in 1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Tabelleninhalt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No: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Tabelleninhal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Prüfer/in 2</w:t>
            </w:r>
          </w:p>
        </w:tc>
        <w:tc>
          <w:tcPr>
            <w:tcW w:w="1685" w:type="dxa"/>
            <w:tcBorders/>
            <w:shd w:fill="auto" w:val="clear"/>
          </w:tcPr>
          <w:p>
            <w:pPr>
              <w:pStyle w:val="Tabelleninhalt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No:</w:t>
            </w:r>
          </w:p>
        </w:tc>
        <w:tc>
          <w:tcPr>
            <w:tcW w:w="1716" w:type="dxa"/>
            <w:tcBorders/>
            <w:shd w:fill="auto" w:val="clear"/>
          </w:tcPr>
          <w:p>
            <w:pPr>
              <w:pStyle w:val="Tabelleninhal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Prüfer/in 3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Tabelleninhalt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No:</w:t>
            </w:r>
          </w:p>
        </w:tc>
      </w:tr>
    </w:tbl>
    <w:p>
      <w:pPr>
        <w:pStyle w:val="Berschrift1"/>
        <w:keepNext w:val="true"/>
        <w:numPr>
          <w:ilvl w:val="0"/>
          <w:numId w:val="0"/>
        </w:numPr>
        <w:bidi w:val="0"/>
        <w:spacing w:before="170" w:after="57"/>
        <w:rPr>
          <w:rFonts w:ascii="Tahoma" w:hAnsi="Tahoma" w:cs="Tahoma"/>
          <w:b/>
          <w:b/>
          <w:sz w:val="4"/>
          <w:szCs w:val="4"/>
        </w:rPr>
      </w:pPr>
      <w:r>
        <w:rPr>
          <w:rFonts w:cs="Tahoma" w:ascii="Tahoma" w:hAnsi="Tahoma"/>
          <w:b/>
          <w:sz w:val="4"/>
          <w:szCs w:val="4"/>
        </w:rPr>
      </w:r>
    </w:p>
    <w:sectPr>
      <w:type w:val="nextPage"/>
      <w:pgSz w:w="11906" w:h="16838"/>
      <w:pgMar w:left="1020" w:right="680" w:header="0" w:top="737" w:footer="0" w:bottom="73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default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default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SimSun" w:cs="Arial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" w:hAnsi="Times" w:eastAsia="SimSun" w:cs="Arial"/>
      <w:color w:val="auto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bidi w:val="0"/>
      <w:spacing w:before="170" w:after="57"/>
      <w:jc w:val="left"/>
      <w:outlineLvl w:val="0"/>
    </w:pPr>
    <w:rPr>
      <w:b/>
      <w:bCs/>
      <w:color w:val="99284C"/>
      <w:sz w:val="36"/>
      <w:szCs w:val="36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ascii="Times" w:hAnsi="Times"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Times" w:hAnsi="Times"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Times" w:hAnsi="Times" w:cs="Arial"/>
    </w:rPr>
  </w:style>
  <w:style w:type="paragraph" w:styleId="Tabelleninhalt">
    <w:name w:val="Tabelleninhalt"/>
    <w:basedOn w:val="Normal"/>
    <w:qFormat/>
    <w:pPr>
      <w:suppressLineNumbers/>
      <w:bidi w:val="0"/>
    </w:pPr>
    <w:rPr>
      <w:rFonts w:ascii="Times" w:hAnsi="Time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artin.vondenbenken@njv.de" TargetMode="External"/><Relationship Id="rId4" Type="http://schemas.openxmlformats.org/officeDocument/2006/relationships/hyperlink" Target="http://www.njv.de/" TargetMode="External"/><Relationship Id="rId5" Type="http://schemas.openxmlformats.org/officeDocument/2006/relationships/hyperlink" Target="https://www.njv.de/fileadmin/Dokumente/0_NJV/Pr&#252;fungsordnung2019.pdf" TargetMode="External"/><Relationship Id="rId6" Type="http://schemas.openxmlformats.org/officeDocument/2006/relationships/image" Target="media/image2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LibreOffice/6.2.5.2$Windows_X86_64 LibreOffice_project/1ec314fa52f458adc18c4f025c545a4e8b22c159</Application>
  <Pages>1</Pages>
  <Words>253</Words>
  <Characters>1424</Characters>
  <CharactersWithSpaces>1609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2018-03-27T20:28:25Z</dcterms:created>
  <dc:creator>Dennis Burkhardt</dc:creator>
  <dc:description/>
  <dc:language>de-DE</dc:language>
  <cp:lastModifiedBy/>
  <dcterms:modified xsi:type="dcterms:W3CDTF">2019-12-22T17:08:35Z</dcterms:modified>
  <cp:revision>14</cp:revision>
  <dc:subject/>
  <dc:title/>
</cp:coreProperties>
</file>